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0001684420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186"/>
        <w:gridCol w:w="3019"/>
      </w:tblGrid>
      <w:tr>
        <w:trPr/>
        <w:tc>
          <w:tcPr>
            <w:tcW w:w="7186" w:type="dxa"/>
            <w:tcBorders/>
            <w:vAlign w:val="center"/>
          </w:tcPr>
          <w:p>
            <w:pPr>
              <w:pStyle w:val="TableContents"/>
              <w:bidi w:val="0"/>
              <w:spacing w:before="0" w:after="283"/>
              <w:jc w:val="left"/>
              <w:rPr/>
            </w:pPr>
            <w:r>
              <w:rPr/>
              <w:t>Name of Issuer</w:t>
            </w:r>
          </w:p>
        </w:tc>
        <w:tc>
          <w:tcPr>
            <w:tcW w:w="3019" w:type="dxa"/>
            <w:tcBorders/>
            <w:vAlign w:val="center"/>
          </w:tcPr>
          <w:p>
            <w:pPr>
              <w:pStyle w:val="TableContents"/>
              <w:bidi w:val="0"/>
              <w:spacing w:before="0" w:after="0"/>
              <w:jc w:val="left"/>
              <w:rPr/>
            </w:pPr>
            <w:r>
              <w:rPr/>
              <w:t>Steven Madden Ltd</w:t>
            </w:r>
          </w:p>
        </w:tc>
      </w:tr>
      <w:tr>
        <w:trPr/>
        <w:tc>
          <w:tcPr>
            <w:tcW w:w="7186" w:type="dxa"/>
            <w:tcBorders/>
            <w:vAlign w:val="center"/>
          </w:tcPr>
          <w:p>
            <w:pPr>
              <w:pStyle w:val="TableContents"/>
              <w:bidi w:val="0"/>
              <w:spacing w:before="0" w:after="283"/>
              <w:jc w:val="left"/>
              <w:rPr/>
            </w:pPr>
            <w:r>
              <w:rPr/>
              <w:t>SEC File Number</w:t>
            </w:r>
          </w:p>
        </w:tc>
        <w:tc>
          <w:tcPr>
            <w:tcW w:w="3019" w:type="dxa"/>
            <w:tcBorders/>
            <w:vAlign w:val="center"/>
          </w:tcPr>
          <w:p>
            <w:pPr>
              <w:pStyle w:val="TableContents"/>
              <w:bidi w:val="0"/>
              <w:spacing w:before="0" w:after="0"/>
              <w:jc w:val="left"/>
              <w:rPr/>
            </w:pPr>
            <w:r>
              <w:rPr/>
              <w:t>000-23702</w:t>
            </w:r>
          </w:p>
        </w:tc>
      </w:tr>
      <w:tr>
        <w:trPr/>
        <w:tc>
          <w:tcPr>
            <w:tcW w:w="7186" w:type="dxa"/>
            <w:tcBorders/>
            <w:vAlign w:val="center"/>
          </w:tcPr>
          <w:p>
            <w:pPr>
              <w:pStyle w:val="TableContents"/>
              <w:bidi w:val="0"/>
              <w:spacing w:before="0" w:after="283"/>
              <w:jc w:val="left"/>
              <w:rPr/>
            </w:pPr>
            <w:r>
              <w:rPr/>
              <w:t>Address of Issuer</w:t>
            </w:r>
          </w:p>
        </w:tc>
        <w:tc>
          <w:tcPr>
            <w:tcW w:w="3019" w:type="dxa"/>
            <w:tcBorders/>
            <w:vAlign w:val="center"/>
          </w:tcPr>
          <w:p>
            <w:pPr>
              <w:pStyle w:val="TableContents"/>
              <w:bidi w:val="0"/>
              <w:spacing w:before="0" w:after="0"/>
              <w:jc w:val="left"/>
              <w:rPr/>
            </w:pPr>
            <w:r>
              <w:rPr/>
              <w:t>52-16 Barnett Ave</w:t>
              <w:br/>
              <w:t>Long Island City</w:t>
              <w:br/>
              <w:t xml:space="preserve">NEW YORK </w:t>
              <w:br/>
              <w:t>11104</w:t>
            </w:r>
          </w:p>
        </w:tc>
      </w:tr>
      <w:tr>
        <w:trPr/>
        <w:tc>
          <w:tcPr>
            <w:tcW w:w="7186" w:type="dxa"/>
            <w:tcBorders/>
            <w:vAlign w:val="center"/>
          </w:tcPr>
          <w:p>
            <w:pPr>
              <w:pStyle w:val="TableContents"/>
              <w:bidi w:val="0"/>
              <w:spacing w:before="0" w:after="283"/>
              <w:jc w:val="left"/>
              <w:rPr/>
            </w:pPr>
            <w:r>
              <w:rPr/>
              <w:t>Phone</w:t>
            </w:r>
          </w:p>
        </w:tc>
        <w:tc>
          <w:tcPr>
            <w:tcW w:w="3019" w:type="dxa"/>
            <w:tcBorders/>
            <w:vAlign w:val="center"/>
          </w:tcPr>
          <w:p>
            <w:pPr>
              <w:pStyle w:val="TableContents"/>
              <w:bidi w:val="0"/>
              <w:spacing w:before="0" w:after="0"/>
              <w:jc w:val="left"/>
              <w:rPr/>
            </w:pPr>
            <w:r>
              <w:rPr/>
              <w:t>7184461800</w:t>
            </w:r>
          </w:p>
        </w:tc>
      </w:tr>
      <w:tr>
        <w:trPr/>
        <w:tc>
          <w:tcPr>
            <w:tcW w:w="7186" w:type="dxa"/>
            <w:tcBorders/>
            <w:vAlign w:val="center"/>
          </w:tcPr>
          <w:p>
            <w:pPr>
              <w:pStyle w:val="TableContents"/>
              <w:bidi w:val="0"/>
              <w:spacing w:before="0" w:after="283"/>
              <w:jc w:val="left"/>
              <w:rPr/>
            </w:pPr>
            <w:r>
              <w:rPr/>
              <w:t>Name of Person for Whose Account the Securities are To Be Sold</w:t>
            </w:r>
          </w:p>
        </w:tc>
        <w:tc>
          <w:tcPr>
            <w:tcW w:w="3019" w:type="dxa"/>
            <w:tcBorders/>
            <w:vAlign w:val="center"/>
          </w:tcPr>
          <w:p>
            <w:pPr>
              <w:pStyle w:val="TableContents"/>
              <w:bidi w:val="0"/>
              <w:spacing w:before="0" w:after="0"/>
              <w:jc w:val="left"/>
              <w:rPr/>
            </w:pPr>
            <w:r>
              <w:rPr/>
              <w:t>Al Ferrara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186" w:type="dxa"/>
            <w:tcBorders/>
            <w:vAlign w:val="center"/>
          </w:tcPr>
          <w:p>
            <w:pPr>
              <w:pStyle w:val="TableContents"/>
              <w:bidi w:val="0"/>
              <w:spacing w:before="0" w:after="283"/>
              <w:jc w:val="left"/>
              <w:rPr/>
            </w:pPr>
            <w:r>
              <w:rPr/>
              <w:t>Relationship to Issuer</w:t>
            </w:r>
          </w:p>
        </w:tc>
        <w:tc>
          <w:tcPr>
            <w:tcW w:w="3019" w:type="dxa"/>
            <w:tcBorders/>
            <w:vAlign w:val="center"/>
          </w:tcPr>
          <w:p>
            <w:pPr>
              <w:pStyle w:val="TableContents"/>
              <w:bidi w:val="0"/>
              <w:spacing w:before="0" w:after="0"/>
              <w:jc w:val="left"/>
              <w:rPr/>
            </w:pPr>
            <w:r>
              <w:rPr/>
              <w:t>Board Member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1"/>
        <w:gridCol w:w="1695"/>
        <w:gridCol w:w="1148"/>
        <w:gridCol w:w="1355"/>
        <w:gridCol w:w="1534"/>
        <w:gridCol w:w="1556"/>
        <w:gridCol w:w="1386"/>
      </w:tblGrid>
      <w:tr>
        <w:trPr/>
        <w:tc>
          <w:tcPr>
            <w:tcW w:w="1531" w:type="dxa"/>
            <w:tcBorders/>
            <w:vAlign w:val="center"/>
          </w:tcPr>
          <w:p>
            <w:pPr>
              <w:pStyle w:val="TableHeading"/>
              <w:suppressLineNumbers/>
              <w:bidi w:val="0"/>
              <w:spacing w:before="0" w:after="283"/>
              <w:jc w:val="center"/>
              <w:rPr/>
            </w:pPr>
            <w:r>
              <w:rPr/>
              <w:t>Title of the Class of Securities To Be Sold</w:t>
            </w:r>
          </w:p>
        </w:tc>
        <w:tc>
          <w:tcPr>
            <w:tcW w:w="1695" w:type="dxa"/>
            <w:tcBorders/>
            <w:vAlign w:val="center"/>
          </w:tcPr>
          <w:p>
            <w:pPr>
              <w:pStyle w:val="TableHeading"/>
              <w:suppressLineNumbers/>
              <w:bidi w:val="0"/>
              <w:spacing w:before="0" w:after="283"/>
              <w:jc w:val="center"/>
              <w:rPr/>
            </w:pPr>
            <w:r>
              <w:rPr/>
              <w:t>Name and Address of the Broker</w:t>
            </w:r>
          </w:p>
        </w:tc>
        <w:tc>
          <w:tcPr>
            <w:tcW w:w="1148" w:type="dxa"/>
            <w:tcBorders/>
            <w:vAlign w:val="center"/>
          </w:tcPr>
          <w:p>
            <w:pPr>
              <w:pStyle w:val="TableHeading"/>
              <w:suppressLineNumbers/>
              <w:bidi w:val="0"/>
              <w:spacing w:before="0" w:after="283"/>
              <w:jc w:val="center"/>
              <w:rPr/>
            </w:pPr>
            <w:r>
              <w:rPr/>
              <w:t>Number of Shares or Other Units To Be Sold</w:t>
            </w:r>
          </w:p>
        </w:tc>
        <w:tc>
          <w:tcPr>
            <w:tcW w:w="1355" w:type="dxa"/>
            <w:tcBorders/>
            <w:vAlign w:val="center"/>
          </w:tcPr>
          <w:p>
            <w:pPr>
              <w:pStyle w:val="TableHeading"/>
              <w:suppressLineNumbers/>
              <w:bidi w:val="0"/>
              <w:spacing w:before="0" w:after="283"/>
              <w:jc w:val="center"/>
              <w:rPr/>
            </w:pPr>
            <w:r>
              <w:rPr/>
              <w:t>Aggregate Market Value</w:t>
            </w:r>
          </w:p>
        </w:tc>
        <w:tc>
          <w:tcPr>
            <w:tcW w:w="1534" w:type="dxa"/>
            <w:tcBorders/>
            <w:vAlign w:val="center"/>
          </w:tcPr>
          <w:p>
            <w:pPr>
              <w:pStyle w:val="TableHeading"/>
              <w:suppressLineNumbers/>
              <w:bidi w:val="0"/>
              <w:spacing w:before="0" w:after="283"/>
              <w:jc w:val="center"/>
              <w:rPr/>
            </w:pPr>
            <w:r>
              <w:rPr/>
              <w:t>Number of Shares or Other Units Outstanding</w:t>
            </w:r>
          </w:p>
        </w:tc>
        <w:tc>
          <w:tcPr>
            <w:tcW w:w="1556"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31" w:type="dxa"/>
            <w:tcBorders/>
            <w:vAlign w:val="center"/>
          </w:tcPr>
          <w:p>
            <w:pPr>
              <w:pStyle w:val="TableContents"/>
              <w:bidi w:val="0"/>
              <w:spacing w:before="0" w:after="283"/>
              <w:jc w:val="left"/>
              <w:rPr/>
            </w:pPr>
            <w:r>
              <w:rPr/>
              <w:t>Common</w:t>
            </w:r>
          </w:p>
        </w:tc>
        <w:tc>
          <w:tcPr>
            <w:tcW w:w="1695" w:type="dxa"/>
            <w:tcBorders/>
            <w:vAlign w:val="center"/>
          </w:tcPr>
          <w:p>
            <w:pPr>
              <w:pStyle w:val="TableContents"/>
              <w:bidi w:val="0"/>
              <w:spacing w:before="0" w:after="0"/>
              <w:jc w:val="left"/>
              <w:rPr/>
            </w:pPr>
            <w:r>
              <w:rPr/>
              <w:t>UBS Financial Services Inc</w:t>
              <w:br/>
              <w:t>1000 Harbor Blvd</w:t>
              <w:br/>
              <w:t>3rd Floor</w:t>
              <w:br/>
              <w:t>Weehawken   NJ   07086</w:t>
            </w:r>
          </w:p>
        </w:tc>
        <w:tc>
          <w:tcPr>
            <w:tcW w:w="1148" w:type="dxa"/>
            <w:tcBorders/>
            <w:vAlign w:val="center"/>
          </w:tcPr>
          <w:p>
            <w:pPr>
              <w:pStyle w:val="TableContents"/>
              <w:bidi w:val="0"/>
              <w:spacing w:before="0" w:after="283"/>
              <w:jc w:val="left"/>
              <w:rPr/>
            </w:pPr>
            <w:r>
              <w:rPr/>
              <w:t>3918</w:t>
            </w:r>
          </w:p>
        </w:tc>
        <w:tc>
          <w:tcPr>
            <w:tcW w:w="1355" w:type="dxa"/>
            <w:tcBorders/>
            <w:vAlign w:val="center"/>
          </w:tcPr>
          <w:p>
            <w:pPr>
              <w:pStyle w:val="TableContents"/>
              <w:bidi w:val="0"/>
              <w:spacing w:before="0" w:after="283"/>
              <w:jc w:val="left"/>
              <w:rPr/>
            </w:pPr>
            <w:r>
              <w:rPr/>
              <w:t>190649.88</w:t>
            </w:r>
          </w:p>
        </w:tc>
        <w:tc>
          <w:tcPr>
            <w:tcW w:w="1534" w:type="dxa"/>
            <w:tcBorders/>
            <w:vAlign w:val="center"/>
          </w:tcPr>
          <w:p>
            <w:pPr>
              <w:pStyle w:val="TableContents"/>
              <w:bidi w:val="0"/>
              <w:spacing w:before="0" w:after="283"/>
              <w:jc w:val="left"/>
              <w:rPr/>
            </w:pPr>
            <w:r>
              <w:rPr/>
              <w:t>73177095</w:t>
            </w:r>
          </w:p>
        </w:tc>
        <w:tc>
          <w:tcPr>
            <w:tcW w:w="1556" w:type="dxa"/>
            <w:tcBorders/>
            <w:vAlign w:val="center"/>
          </w:tcPr>
          <w:p>
            <w:pPr>
              <w:pStyle w:val="TableContents"/>
              <w:bidi w:val="0"/>
              <w:spacing w:before="0" w:after="283"/>
              <w:jc w:val="left"/>
              <w:rPr/>
            </w:pPr>
            <w:r>
              <w:rPr/>
              <w:t>08/04/2026</w:t>
            </w:r>
          </w:p>
        </w:tc>
        <w:tc>
          <w:tcPr>
            <w:tcW w:w="138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614"/>
        <w:gridCol w:w="1199"/>
        <w:gridCol w:w="527"/>
        <w:gridCol w:w="1127"/>
        <w:gridCol w:w="1189"/>
        <w:gridCol w:w="1069"/>
        <w:gridCol w:w="121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61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21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 Stock</w:t>
            </w:r>
          </w:p>
        </w:tc>
        <w:tc>
          <w:tcPr>
            <w:tcW w:w="1127" w:type="dxa"/>
            <w:tcBorders/>
            <w:vAlign w:val="center"/>
          </w:tcPr>
          <w:p>
            <w:pPr>
              <w:pStyle w:val="TableContents"/>
              <w:bidi w:val="0"/>
              <w:spacing w:before="0" w:after="283"/>
              <w:jc w:val="left"/>
              <w:rPr/>
            </w:pPr>
            <w:r>
              <w:rPr/>
              <w:t>05/24/2023</w:t>
            </w:r>
          </w:p>
        </w:tc>
        <w:tc>
          <w:tcPr>
            <w:tcW w:w="1614" w:type="dxa"/>
            <w:tcBorders/>
            <w:vAlign w:val="center"/>
          </w:tcPr>
          <w:p>
            <w:pPr>
              <w:pStyle w:val="TableContents"/>
              <w:bidi w:val="0"/>
              <w:spacing w:before="0" w:after="283"/>
              <w:jc w:val="left"/>
              <w:rPr/>
            </w:pPr>
            <w:r>
              <w:rPr/>
              <w:t>Stock Compensation</w:t>
            </w:r>
          </w:p>
        </w:tc>
        <w:tc>
          <w:tcPr>
            <w:tcW w:w="1199" w:type="dxa"/>
            <w:tcBorders/>
            <w:vAlign w:val="center"/>
          </w:tcPr>
          <w:p>
            <w:pPr>
              <w:pStyle w:val="TableContents"/>
              <w:bidi w:val="0"/>
              <w:spacing w:before="0" w:after="283"/>
              <w:jc w:val="left"/>
              <w:rPr/>
            </w:pPr>
            <w:r>
              <w:rPr/>
              <w:t>Steven Madden Ltd</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3918</w:t>
            </w:r>
          </w:p>
        </w:tc>
        <w:tc>
          <w:tcPr>
            <w:tcW w:w="1069" w:type="dxa"/>
            <w:tcBorders/>
            <w:vAlign w:val="center"/>
          </w:tcPr>
          <w:p>
            <w:pPr>
              <w:pStyle w:val="TableContents"/>
              <w:bidi w:val="0"/>
              <w:spacing w:before="0" w:after="283"/>
              <w:jc w:val="left"/>
              <w:rPr/>
            </w:pPr>
            <w:r>
              <w:rPr/>
              <w:t>05/24/2023</w:t>
            </w:r>
          </w:p>
        </w:tc>
        <w:tc>
          <w:tcPr>
            <w:tcW w:w="1212"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072"/>
        <w:gridCol w:w="8133"/>
      </w:tblGrid>
      <w:tr>
        <w:trPr/>
        <w:tc>
          <w:tcPr>
            <w:tcW w:w="2072" w:type="dxa"/>
            <w:tcBorders/>
            <w:vAlign w:val="center"/>
          </w:tcPr>
          <w:p>
            <w:pPr>
              <w:pStyle w:val="TableContents"/>
              <w:bidi w:val="0"/>
              <w:spacing w:before="0" w:after="283"/>
              <w:jc w:val="left"/>
              <w:rPr/>
            </w:pPr>
            <w:r>
              <w:rPr/>
              <w:t>Remarks</w:t>
            </w:r>
          </w:p>
        </w:tc>
        <w:tc>
          <w:tcPr>
            <w:tcW w:w="8133" w:type="dxa"/>
            <w:tcBorders/>
            <w:vAlign w:val="center"/>
          </w:tcPr>
          <w:p>
            <w:pPr>
              <w:pStyle w:val="TableContents"/>
              <w:bidi w:val="0"/>
              <w:spacing w:before="0" w:after="283"/>
              <w:jc w:val="left"/>
              <w:rPr>
                <w:sz w:val="4"/>
                <w:szCs w:val="4"/>
              </w:rPr>
            </w:pPr>
            <w:r>
              <w:rPr>
                <w:sz w:val="4"/>
                <w:szCs w:val="4"/>
              </w:rPr>
            </w:r>
          </w:p>
        </w:tc>
      </w:tr>
      <w:tr>
        <w:trPr/>
        <w:tc>
          <w:tcPr>
            <w:tcW w:w="2072" w:type="dxa"/>
            <w:tcBorders/>
            <w:vAlign w:val="center"/>
          </w:tcPr>
          <w:p>
            <w:pPr>
              <w:pStyle w:val="TableContents"/>
              <w:bidi w:val="0"/>
              <w:spacing w:before="0" w:after="283"/>
              <w:jc w:val="left"/>
              <w:rPr/>
            </w:pPr>
            <w:r>
              <w:rPr/>
              <w:t>Date of Notice</w:t>
            </w:r>
          </w:p>
        </w:tc>
        <w:tc>
          <w:tcPr>
            <w:tcW w:w="8133" w:type="dxa"/>
            <w:tcBorders/>
            <w:vAlign w:val="center"/>
          </w:tcPr>
          <w:p>
            <w:pPr>
              <w:pStyle w:val="TableContents"/>
              <w:bidi w:val="0"/>
              <w:spacing w:before="0" w:after="0"/>
              <w:jc w:val="left"/>
              <w:rPr/>
            </w:pPr>
            <w:r>
              <w:rPr/>
              <w:t>08/04/2026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072" w:type="dxa"/>
            <w:tcBorders/>
            <w:vAlign w:val="center"/>
          </w:tcPr>
          <w:p>
            <w:pPr>
              <w:pStyle w:val="TableContents"/>
              <w:bidi w:val="0"/>
              <w:spacing w:before="0" w:after="283"/>
              <w:jc w:val="left"/>
              <w:rPr/>
            </w:pPr>
            <w:r>
              <w:rPr/>
              <w:t>Signature</w:t>
            </w:r>
          </w:p>
        </w:tc>
        <w:tc>
          <w:tcPr>
            <w:tcW w:w="8133" w:type="dxa"/>
            <w:tcBorders/>
            <w:vAlign w:val="center"/>
          </w:tcPr>
          <w:p>
            <w:pPr>
              <w:pStyle w:val="TableContents"/>
              <w:bidi w:val="0"/>
              <w:spacing w:before="0" w:after="0"/>
              <w:jc w:val="left"/>
              <w:rPr/>
            </w:pPr>
            <w:r>
              <w:rPr/>
              <w:t>/s/JOSEPH CASSIDY, for UBS Financial Services Inc, as attorney-in-fact for Al Ferrara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585</Words>
  <Characters>2940</Characters>
  <CharactersWithSpaces>3471</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