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0001907102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6"/>
        <w:gridCol w:w="3019"/>
      </w:tblGrid>
      <w:tr>
        <w:trPr/>
        <w:tc>
          <w:tcPr>
            <w:tcW w:w="7186" w:type="dxa"/>
            <w:tcBorders/>
            <w:vAlign w:val="center"/>
          </w:tcPr>
          <w:p>
            <w:pPr>
              <w:pStyle w:val="TableContents"/>
              <w:bidi w:val="0"/>
              <w:spacing w:before="0" w:after="283"/>
              <w:jc w:val="left"/>
              <w:rPr/>
            </w:pPr>
            <w:r>
              <w:rPr/>
              <w:t>Name of Issuer</w:t>
            </w:r>
          </w:p>
        </w:tc>
        <w:tc>
          <w:tcPr>
            <w:tcW w:w="3019" w:type="dxa"/>
            <w:tcBorders/>
            <w:vAlign w:val="center"/>
          </w:tcPr>
          <w:p>
            <w:pPr>
              <w:pStyle w:val="TableContents"/>
              <w:bidi w:val="0"/>
              <w:spacing w:before="0" w:after="0"/>
              <w:jc w:val="left"/>
              <w:rPr/>
            </w:pPr>
            <w:r>
              <w:rPr/>
              <w:t>Steven Madden Ltd</w:t>
            </w:r>
          </w:p>
        </w:tc>
      </w:tr>
      <w:tr>
        <w:trPr/>
        <w:tc>
          <w:tcPr>
            <w:tcW w:w="7186" w:type="dxa"/>
            <w:tcBorders/>
            <w:vAlign w:val="center"/>
          </w:tcPr>
          <w:p>
            <w:pPr>
              <w:pStyle w:val="TableContents"/>
              <w:bidi w:val="0"/>
              <w:spacing w:before="0" w:after="283"/>
              <w:jc w:val="left"/>
              <w:rPr/>
            </w:pPr>
            <w:r>
              <w:rPr/>
              <w:t>SEC File Number</w:t>
            </w:r>
          </w:p>
        </w:tc>
        <w:tc>
          <w:tcPr>
            <w:tcW w:w="3019" w:type="dxa"/>
            <w:tcBorders/>
            <w:vAlign w:val="center"/>
          </w:tcPr>
          <w:p>
            <w:pPr>
              <w:pStyle w:val="TableContents"/>
              <w:bidi w:val="0"/>
              <w:spacing w:before="0" w:after="0"/>
              <w:jc w:val="left"/>
              <w:rPr/>
            </w:pPr>
            <w:r>
              <w:rPr/>
              <w:t>000-23702</w:t>
            </w:r>
          </w:p>
        </w:tc>
      </w:tr>
      <w:tr>
        <w:trPr/>
        <w:tc>
          <w:tcPr>
            <w:tcW w:w="7186" w:type="dxa"/>
            <w:tcBorders/>
            <w:vAlign w:val="center"/>
          </w:tcPr>
          <w:p>
            <w:pPr>
              <w:pStyle w:val="TableContents"/>
              <w:bidi w:val="0"/>
              <w:spacing w:before="0" w:after="283"/>
              <w:jc w:val="left"/>
              <w:rPr/>
            </w:pPr>
            <w:r>
              <w:rPr/>
              <w:t>Address of Issuer</w:t>
            </w:r>
          </w:p>
        </w:tc>
        <w:tc>
          <w:tcPr>
            <w:tcW w:w="3019" w:type="dxa"/>
            <w:tcBorders/>
            <w:vAlign w:val="center"/>
          </w:tcPr>
          <w:p>
            <w:pPr>
              <w:pStyle w:val="TableContents"/>
              <w:bidi w:val="0"/>
              <w:spacing w:before="0" w:after="0"/>
              <w:jc w:val="left"/>
              <w:rPr/>
            </w:pPr>
            <w:r>
              <w:rPr/>
              <w:t>52-16 Barnett Ave</w:t>
              <w:br/>
              <w:t>Long Island City</w:t>
              <w:br/>
              <w:t xml:space="preserve">NEW YORK </w:t>
              <w:br/>
              <w:t>11104</w:t>
            </w:r>
          </w:p>
        </w:tc>
      </w:tr>
      <w:tr>
        <w:trPr/>
        <w:tc>
          <w:tcPr>
            <w:tcW w:w="7186" w:type="dxa"/>
            <w:tcBorders/>
            <w:vAlign w:val="center"/>
          </w:tcPr>
          <w:p>
            <w:pPr>
              <w:pStyle w:val="TableContents"/>
              <w:bidi w:val="0"/>
              <w:spacing w:before="0" w:after="283"/>
              <w:jc w:val="left"/>
              <w:rPr/>
            </w:pPr>
            <w:r>
              <w:rPr/>
              <w:t>Phone</w:t>
            </w:r>
          </w:p>
        </w:tc>
        <w:tc>
          <w:tcPr>
            <w:tcW w:w="3019" w:type="dxa"/>
            <w:tcBorders/>
            <w:vAlign w:val="center"/>
          </w:tcPr>
          <w:p>
            <w:pPr>
              <w:pStyle w:val="TableContents"/>
              <w:bidi w:val="0"/>
              <w:spacing w:before="0" w:after="0"/>
              <w:jc w:val="left"/>
              <w:rPr/>
            </w:pPr>
            <w:r>
              <w:rPr/>
              <w:t>7184461800</w:t>
            </w:r>
          </w:p>
        </w:tc>
      </w:tr>
      <w:tr>
        <w:trPr/>
        <w:tc>
          <w:tcPr>
            <w:tcW w:w="7186" w:type="dxa"/>
            <w:tcBorders/>
            <w:vAlign w:val="center"/>
          </w:tcPr>
          <w:p>
            <w:pPr>
              <w:pStyle w:val="TableContents"/>
              <w:bidi w:val="0"/>
              <w:spacing w:before="0" w:after="283"/>
              <w:jc w:val="left"/>
              <w:rPr/>
            </w:pPr>
            <w:r>
              <w:rPr/>
              <w:t>Name of Person for Whose Account the Securities are To Be Sold</w:t>
            </w:r>
          </w:p>
        </w:tc>
        <w:tc>
          <w:tcPr>
            <w:tcW w:w="3019" w:type="dxa"/>
            <w:tcBorders/>
            <w:vAlign w:val="center"/>
          </w:tcPr>
          <w:p>
            <w:pPr>
              <w:pStyle w:val="TableContents"/>
              <w:bidi w:val="0"/>
              <w:spacing w:before="0" w:after="0"/>
              <w:jc w:val="left"/>
              <w:rPr/>
            </w:pPr>
            <w:r>
              <w:rPr/>
              <w:t>Peter Davis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6" w:type="dxa"/>
            <w:tcBorders/>
            <w:vAlign w:val="center"/>
          </w:tcPr>
          <w:p>
            <w:pPr>
              <w:pStyle w:val="TableContents"/>
              <w:bidi w:val="0"/>
              <w:spacing w:before="0" w:after="283"/>
              <w:jc w:val="left"/>
              <w:rPr/>
            </w:pPr>
            <w:r>
              <w:rPr/>
              <w:t>Relationship to Issuer</w:t>
            </w:r>
          </w:p>
        </w:tc>
        <w:tc>
          <w:tcPr>
            <w:tcW w:w="3019"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525</w:t>
            </w:r>
          </w:p>
        </w:tc>
        <w:tc>
          <w:tcPr>
            <w:tcW w:w="1355" w:type="dxa"/>
            <w:tcBorders/>
            <w:vAlign w:val="center"/>
          </w:tcPr>
          <w:p>
            <w:pPr>
              <w:pStyle w:val="TableContents"/>
              <w:bidi w:val="0"/>
              <w:spacing w:before="0" w:after="283"/>
              <w:jc w:val="left"/>
              <w:rPr/>
            </w:pPr>
            <w:r>
              <w:rPr/>
              <w:t>25546.5</w:t>
            </w:r>
          </w:p>
        </w:tc>
        <w:tc>
          <w:tcPr>
            <w:tcW w:w="1534" w:type="dxa"/>
            <w:tcBorders/>
            <w:vAlign w:val="center"/>
          </w:tcPr>
          <w:p>
            <w:pPr>
              <w:pStyle w:val="TableContents"/>
              <w:bidi w:val="0"/>
              <w:spacing w:before="0" w:after="283"/>
              <w:jc w:val="left"/>
              <w:rPr/>
            </w:pPr>
            <w:r>
              <w:rPr/>
              <w:t>73177095</w:t>
            </w:r>
          </w:p>
        </w:tc>
        <w:tc>
          <w:tcPr>
            <w:tcW w:w="1556" w:type="dxa"/>
            <w:tcBorders/>
            <w:vAlign w:val="center"/>
          </w:tcPr>
          <w:p>
            <w:pPr>
              <w:pStyle w:val="TableContents"/>
              <w:bidi w:val="0"/>
              <w:spacing w:before="0" w:after="283"/>
              <w:jc w:val="left"/>
              <w:rPr/>
            </w:pPr>
            <w:r>
              <w:rPr/>
              <w:t>08/04/2026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05/21/2025</w:t>
            </w:r>
          </w:p>
        </w:tc>
        <w:tc>
          <w:tcPr>
            <w:tcW w:w="1614" w:type="dxa"/>
            <w:tcBorders/>
            <w:vAlign w:val="center"/>
          </w:tcPr>
          <w:p>
            <w:pPr>
              <w:pStyle w:val="TableContents"/>
              <w:bidi w:val="0"/>
              <w:spacing w:before="0" w:after="283"/>
              <w:jc w:val="left"/>
              <w:rPr/>
            </w:pPr>
            <w:r>
              <w:rPr/>
              <w:t>Stock Compensation</w:t>
            </w:r>
          </w:p>
        </w:tc>
        <w:tc>
          <w:tcPr>
            <w:tcW w:w="1199" w:type="dxa"/>
            <w:tcBorders/>
            <w:vAlign w:val="center"/>
          </w:tcPr>
          <w:p>
            <w:pPr>
              <w:pStyle w:val="TableContents"/>
              <w:bidi w:val="0"/>
              <w:spacing w:before="0" w:after="283"/>
              <w:jc w:val="left"/>
              <w:rPr/>
            </w:pPr>
            <w:r>
              <w:rPr/>
              <w:t>Steven Madden Ltd</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525</w:t>
            </w:r>
          </w:p>
        </w:tc>
        <w:tc>
          <w:tcPr>
            <w:tcW w:w="1069" w:type="dxa"/>
            <w:tcBorders/>
            <w:vAlign w:val="center"/>
          </w:tcPr>
          <w:p>
            <w:pPr>
              <w:pStyle w:val="TableContents"/>
              <w:bidi w:val="0"/>
              <w:spacing w:before="0" w:after="283"/>
              <w:jc w:val="left"/>
              <w:rPr/>
            </w:pPr>
            <w:r>
              <w:rPr/>
              <w:t>05/21/2025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3011"/>
        <w:gridCol w:w="958"/>
        <w:gridCol w:w="1580"/>
        <w:gridCol w:w="1708"/>
      </w:tblGrid>
      <w:tr>
        <w:trPr/>
        <w:tc>
          <w:tcPr>
            <w:tcW w:w="2948"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Peter Davis</w:t>
              <w:br/>
              <w:t>524 N Juanita Ave</w:t>
              <w:br/>
              <w:t>Unit 5</w:t>
              <w:br/>
              <w:t>Redondo Beach   CA   90277</w:t>
            </w:r>
          </w:p>
        </w:tc>
        <w:tc>
          <w:tcPr>
            <w:tcW w:w="3011" w:type="dxa"/>
            <w:tcBorders/>
            <w:vAlign w:val="center"/>
          </w:tcPr>
          <w:p>
            <w:pPr>
              <w:pStyle w:val="TableContents"/>
              <w:bidi w:val="0"/>
              <w:spacing w:before="0" w:after="283"/>
              <w:jc w:val="left"/>
              <w:rPr/>
            </w:pPr>
            <w:r>
              <w:rPr/>
              <w:t>Steven Madden Ltd</w:t>
            </w:r>
          </w:p>
        </w:tc>
        <w:tc>
          <w:tcPr>
            <w:tcW w:w="958" w:type="dxa"/>
            <w:tcBorders/>
            <w:vAlign w:val="center"/>
          </w:tcPr>
          <w:p>
            <w:pPr>
              <w:pStyle w:val="TableContents"/>
              <w:bidi w:val="0"/>
              <w:spacing w:before="0" w:after="283"/>
              <w:jc w:val="left"/>
              <w:rPr/>
            </w:pPr>
            <w:r>
              <w:rPr/>
              <w:t>05/22/2026</w:t>
            </w:r>
          </w:p>
        </w:tc>
        <w:tc>
          <w:tcPr>
            <w:tcW w:w="1580" w:type="dxa"/>
            <w:tcBorders/>
            <w:vAlign w:val="center"/>
          </w:tcPr>
          <w:p>
            <w:pPr>
              <w:pStyle w:val="TableContents"/>
              <w:bidi w:val="0"/>
              <w:spacing w:before="0" w:after="283"/>
              <w:jc w:val="left"/>
              <w:rPr/>
            </w:pPr>
            <w:r>
              <w:rPr/>
              <w:t>3030</w:t>
            </w:r>
          </w:p>
        </w:tc>
        <w:tc>
          <w:tcPr>
            <w:tcW w:w="1708" w:type="dxa"/>
            <w:tcBorders/>
            <w:vAlign w:val="center"/>
          </w:tcPr>
          <w:p>
            <w:pPr>
              <w:pStyle w:val="TableContents"/>
              <w:bidi w:val="0"/>
              <w:spacing w:before="0" w:after="283"/>
              <w:jc w:val="left"/>
              <w:rPr/>
            </w:pPr>
            <w:r>
              <w:rPr/>
              <w:t>127209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283"/>
              <w:jc w:val="left"/>
              <w:rPr>
                <w:sz w:val="4"/>
                <w:szCs w:val="4"/>
              </w:rPr>
            </w:pPr>
            <w:r>
              <w:rPr>
                <w:sz w:val="4"/>
                <w:szCs w:val="4"/>
              </w:rPr>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/s/JOSEPH CASSIDY, for UBS Financial Services Inc, as attorney-in-fact for Peter Davis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3099</Characters>
  <CharactersWithSpaces>3659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